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双环</w:t>
      </w:r>
      <w:r>
        <w:rPr>
          <w:rFonts w:hint="eastAsia" w:ascii="仿宋_GB2312" w:eastAsia="仿宋_GB2312"/>
          <w:sz w:val="32"/>
          <w:szCs w:val="32"/>
          <w:lang w:eastAsia="zh-CN"/>
        </w:rPr>
        <w:t>评</w:t>
      </w:r>
      <w:r>
        <w:rPr>
          <w:rFonts w:hint="eastAsia" w:ascii="仿宋_GB2312" w:eastAsia="仿宋_GB2312"/>
          <w:sz w:val="32"/>
          <w:szCs w:val="32"/>
        </w:rPr>
        <w:t>[201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_GB2312" w:eastAsia="仿宋_GB2312"/>
          <w:sz w:val="21"/>
          <w:szCs w:val="21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关于理家坪乡理家坪村加油站项目环境影响报告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表的批复</w:t>
      </w:r>
    </w:p>
    <w:p>
      <w:pPr>
        <w:jc w:val="center"/>
        <w:rPr>
          <w:rFonts w:ascii="Times New Roman" w:cs="Times New Roman"/>
          <w:b/>
          <w:sz w:val="36"/>
          <w:szCs w:val="36"/>
          <w:highlight w:val="lightGray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双牌县理家坪乡理家坪村加油站：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你公司委托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长沙水天净化技术工程有限公司</w:t>
      </w:r>
      <w:r>
        <w:rPr>
          <w:rFonts w:hint="eastAsia" w:ascii="仿宋" w:hAnsi="仿宋" w:eastAsia="仿宋" w:cs="仿宋"/>
          <w:sz w:val="32"/>
          <w:szCs w:val="32"/>
        </w:rPr>
        <w:t>编制的《理家坪乡理家坪村加油站项目环境影响报告表》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以下简称《</w:t>
      </w:r>
      <w:r>
        <w:rPr>
          <w:rFonts w:ascii="仿宋" w:hAnsi="仿宋" w:eastAsia="仿宋"/>
          <w:sz w:val="30"/>
          <w:szCs w:val="30"/>
        </w:rPr>
        <w:t>环境影响报告表</w:t>
      </w:r>
      <w:r>
        <w:rPr>
          <w:rFonts w:hint="eastAsia" w:ascii="仿宋" w:hAnsi="仿宋" w:eastAsia="仿宋"/>
          <w:sz w:val="30"/>
          <w:szCs w:val="30"/>
        </w:rPr>
        <w:t>》）</w:t>
      </w:r>
      <w:r>
        <w:rPr>
          <w:rFonts w:hint="eastAsia" w:ascii="仿宋" w:hAnsi="仿宋" w:eastAsia="仿宋" w:cs="仿宋"/>
          <w:sz w:val="32"/>
          <w:szCs w:val="32"/>
        </w:rPr>
        <w:t>及相关资料已收悉，经研究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现批复如下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双牌县理家坪乡理家坪村加油站</w:t>
      </w:r>
      <w:r>
        <w:rPr>
          <w:rFonts w:hint="eastAsia" w:ascii="仿宋" w:hAnsi="仿宋" w:eastAsia="仿宋" w:cs="仿宋"/>
          <w:sz w:val="32"/>
          <w:szCs w:val="32"/>
        </w:rPr>
        <w:t>选址于湖南省永州市双牌县理家坪乡理家坪村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三拱桥头</w:t>
      </w:r>
      <w:r>
        <w:rPr>
          <w:rFonts w:hint="eastAsia" w:ascii="仿宋" w:hAnsi="仿宋" w:eastAsia="仿宋" w:cs="仿宋"/>
          <w:sz w:val="32"/>
          <w:szCs w:val="32"/>
        </w:rPr>
        <w:t>，总投资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00万元，占地面积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主要建设内容包括：设</w:t>
      </w:r>
      <w:r>
        <w:rPr>
          <w:rFonts w:hint="eastAsia" w:ascii="仿宋" w:hAnsi="仿宋" w:eastAsia="仿宋" w:cs="仿宋"/>
          <w:sz w:val="32"/>
          <w:szCs w:val="32"/>
        </w:rPr>
        <w:t>埋地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双层</w:t>
      </w:r>
      <w:r>
        <w:rPr>
          <w:rFonts w:hint="eastAsia" w:ascii="仿宋" w:hAnsi="仿宋" w:eastAsia="仿宋" w:cs="仿宋"/>
          <w:sz w:val="32"/>
          <w:szCs w:val="32"/>
        </w:rPr>
        <w:t>油罐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汽油油罐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柴油油罐1个，加油站内设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台双枪加油机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生产工艺流程为“成品油→储油罐→加油机→车辆”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该</w:t>
      </w:r>
      <w:r>
        <w:rPr>
          <w:rFonts w:hint="eastAsia" w:ascii="仿宋" w:hAnsi="仿宋" w:eastAsia="仿宋"/>
          <w:sz w:val="30"/>
          <w:szCs w:val="30"/>
        </w:rPr>
        <w:t>项目符合国家</w:t>
      </w:r>
      <w:r>
        <w:rPr>
          <w:rFonts w:hint="eastAsia" w:ascii="仿宋" w:hAnsi="仿宋" w:eastAsia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/>
          <w:sz w:val="30"/>
          <w:szCs w:val="30"/>
        </w:rPr>
        <w:t>产业政策，你单位在严格落实《</w:t>
      </w:r>
      <w:r>
        <w:rPr>
          <w:rFonts w:ascii="仿宋" w:hAnsi="仿宋" w:eastAsia="仿宋"/>
          <w:sz w:val="30"/>
          <w:szCs w:val="30"/>
        </w:rPr>
        <w:t>环境影响报告表</w:t>
      </w:r>
      <w:r>
        <w:rPr>
          <w:rFonts w:hint="eastAsia" w:ascii="仿宋" w:hAnsi="仿宋" w:eastAsia="仿宋"/>
          <w:sz w:val="30"/>
          <w:szCs w:val="30"/>
        </w:rPr>
        <w:t>》和本批复提出的各项环保要求和环境影响减缓措施，确保污染物达标排放的前提下，依据《中华人民共和国环境影响评价法》第二十二条等规定，从环境保护角度分析，我局同意</w:t>
      </w:r>
      <w:r>
        <w:rPr>
          <w:rFonts w:hint="eastAsia" w:ascii="仿宋" w:hAnsi="仿宋" w:eastAsia="仿宋"/>
          <w:sz w:val="30"/>
          <w:szCs w:val="30"/>
          <w:lang w:eastAsia="zh-CN"/>
        </w:rPr>
        <w:t>该</w:t>
      </w:r>
      <w:r>
        <w:rPr>
          <w:rFonts w:hint="eastAsia" w:ascii="仿宋" w:hAnsi="仿宋" w:eastAsia="仿宋"/>
          <w:sz w:val="30"/>
          <w:szCs w:val="30"/>
        </w:rPr>
        <w:t>项目建设。本批复和《</w:t>
      </w:r>
      <w:r>
        <w:rPr>
          <w:rFonts w:ascii="仿宋" w:hAnsi="仿宋" w:eastAsia="仿宋"/>
          <w:sz w:val="30"/>
          <w:szCs w:val="30"/>
        </w:rPr>
        <w:t>环境影响报告表</w:t>
      </w:r>
      <w:r>
        <w:rPr>
          <w:rFonts w:hint="eastAsia" w:ascii="仿宋" w:hAnsi="仿宋" w:eastAsia="仿宋"/>
          <w:sz w:val="30"/>
          <w:szCs w:val="30"/>
        </w:rPr>
        <w:t>》是该项目环保审批的法律文件，自批复之日起超过5年方开工建设，或改变项目性质、规模、地点、生产工艺、环境保护措施的，必须依法重新报批。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、项目在建设过程中必须按照报告表提出的要求落实好各项环保措施，严格执行环保“三同时”制度，并重点做好以下工作: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lightGray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1、加强废水的防治，厂内排水采用雨污分流制。</w:t>
      </w:r>
      <w:r>
        <w:rPr>
          <w:rFonts w:hint="eastAsia" w:ascii="仿宋" w:hAnsi="仿宋" w:eastAsia="仿宋" w:cs="仿宋"/>
          <w:sz w:val="32"/>
          <w:szCs w:val="32"/>
        </w:rPr>
        <w:t>生活污水经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化粪池和地埋式污水处理设施</w:t>
      </w:r>
      <w:r>
        <w:rPr>
          <w:rFonts w:hint="eastAsia" w:ascii="仿宋" w:hAnsi="仿宋" w:eastAsia="仿宋" w:cs="仿宋"/>
          <w:sz w:val="32"/>
          <w:szCs w:val="32"/>
        </w:rPr>
        <w:t>处理后，定期清掏用作周围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菜地、绿化带</w:t>
      </w:r>
      <w:r>
        <w:rPr>
          <w:rFonts w:hint="eastAsia" w:ascii="仿宋" w:hAnsi="仿宋" w:eastAsia="仿宋" w:cs="仿宋"/>
          <w:sz w:val="32"/>
          <w:szCs w:val="32"/>
        </w:rPr>
        <w:t>及林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木补水</w:t>
      </w:r>
      <w:r>
        <w:rPr>
          <w:rFonts w:hint="eastAsia" w:ascii="仿宋" w:hAnsi="仿宋" w:eastAsia="仿宋" w:cs="仿宋"/>
          <w:sz w:val="32"/>
          <w:szCs w:val="32"/>
        </w:rPr>
        <w:t>，不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排入自然水体</w:t>
      </w:r>
      <w:r>
        <w:rPr>
          <w:rFonts w:hint="eastAsia" w:ascii="仿宋" w:hAnsi="仿宋" w:eastAsia="仿宋" w:cs="仿宋"/>
          <w:sz w:val="32"/>
          <w:szCs w:val="32"/>
        </w:rPr>
        <w:t>；初期雨水通过导流明沟收集至隔油沉淀池处理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达标</w:t>
      </w:r>
      <w:r>
        <w:rPr>
          <w:rFonts w:hint="eastAsia" w:ascii="仿宋" w:hAnsi="仿宋" w:eastAsia="仿宋" w:cs="仿宋"/>
          <w:sz w:val="32"/>
          <w:szCs w:val="32"/>
        </w:rPr>
        <w:t>后循环使用，多余部分用于周围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菜地、绿化带</w:t>
      </w:r>
      <w:r>
        <w:rPr>
          <w:rFonts w:hint="eastAsia" w:ascii="仿宋" w:hAnsi="仿宋" w:eastAsia="仿宋" w:cs="仿宋"/>
          <w:sz w:val="32"/>
          <w:szCs w:val="32"/>
        </w:rPr>
        <w:t>及林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木补水</w:t>
      </w:r>
      <w:r>
        <w:rPr>
          <w:rFonts w:hint="eastAsia" w:ascii="仿宋" w:hAnsi="仿宋" w:eastAsia="仿宋" w:cs="仿宋"/>
          <w:sz w:val="32"/>
          <w:szCs w:val="32"/>
        </w:rPr>
        <w:t>，不外排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如有废水外排执行《污水综合排放标准》（GB8978-1996）中一级标准；埋地双层油罐贮存池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应做</w:t>
      </w:r>
      <w:r>
        <w:rPr>
          <w:rFonts w:hint="eastAsia" w:ascii="仿宋" w:hAnsi="仿宋" w:eastAsia="仿宋" w:cs="仿宋"/>
          <w:sz w:val="32"/>
          <w:szCs w:val="32"/>
        </w:rPr>
        <w:t>防渗处理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同时在加油站地埋油罐旁设置监测井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加强营运期废气管理。</w:t>
      </w:r>
      <w:r>
        <w:rPr>
          <w:rFonts w:hint="eastAsia" w:ascii="仿宋" w:hAnsi="仿宋" w:eastAsia="仿宋" w:cs="仿宋"/>
          <w:sz w:val="32"/>
          <w:szCs w:val="32"/>
        </w:rPr>
        <w:t>卸油、加油、储油过程设备均应设置油气回收装置，排放满足《加油站大气污染物排放标准》要求；柴油发电机运行产生的废气经自带净化装置处理，排放应满足满足《大气污染物综合排放标准》(GB16297-1996)无组织监控浓度限值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噪声污染方面，项目应合理布局，主要对噪声源加油泵、柴油发电机等设备采取基础减振、隔声等措施，同时做好设备维护、教育员工文明作业；对加油车辆噪声采取设置禁止鸣笛警示牌、加强营运管理等措施。确保厂界噪声满足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声环境质量标准</w:t>
      </w:r>
      <w:r>
        <w:rPr>
          <w:rFonts w:hint="eastAsia" w:ascii="仿宋" w:hAnsi="仿宋" w:eastAsia="仿宋" w:cs="仿宋"/>
          <w:sz w:val="32"/>
          <w:szCs w:val="32"/>
        </w:rPr>
        <w:t>》（GB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3096</w:t>
      </w:r>
      <w:r>
        <w:rPr>
          <w:rFonts w:hint="eastAsia" w:ascii="仿宋" w:hAnsi="仿宋" w:eastAsia="仿宋" w:cs="仿宋"/>
          <w:sz w:val="32"/>
          <w:szCs w:val="32"/>
        </w:rPr>
        <w:t>-2008）中的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相关标准限值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sz w:val="32"/>
          <w:szCs w:val="32"/>
          <w:highlight w:val="lightGray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加强营运期固体废物管理。本项目产生的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含油抹布和废手套、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油罐油泥等为危险废物，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含油抹布和废手套属于国家危险废物管理的豁免清单，经垃圾收集桶集中收集后由环卫部门统一处置。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油罐油泥，必须规范化设置专门的危险废物储存间，做好防渗漏、扩散等措施，不得对周边环境构成影响，并根据危险废物相关管理规定设置标志、管理台账等，危险废物的定期清运必须由具有相关资质的单位进行清运和处置，不得自行处理。</w:t>
      </w:r>
      <w:r>
        <w:rPr>
          <w:rFonts w:hint="eastAsia" w:ascii="仿宋" w:hAnsi="仿宋" w:eastAsia="仿宋" w:cs="仿宋"/>
          <w:sz w:val="32"/>
          <w:szCs w:val="32"/>
        </w:rPr>
        <w:t>生活垃圾按照《生活垃圾填埋场污染控制标准》（GB16889-2008）要求定地点堆放，定期交由环卫部门处置。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5、加强环境风险防范。严格落实环评报告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bCs/>
          <w:sz w:val="32"/>
          <w:szCs w:val="32"/>
        </w:rPr>
        <w:t>提出的各项环境安全风险防范措施。加强环境风险管理，制定环境风险应急预案及防范措施，建立严格的操作制度，并通过岗前培训等方式不断提高职工素质和处理突发事件的能力，并设专职环保管理人员做好污防设施的维护管理 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6、加强安全生产，落实好该项目的消防和安全评价，按照消防和安评结论完善设施，待消防和安评满足条件后，方可进行项目建设和运营。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7、维护社会稳定。加强对项目附近环境敏感点的环境保护，处理好与周边的关系，防止周边群众因环保诉求而引发矛盾，自觉维护社会稳定。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、本项目废水不外排，废气VOCs排放量为0.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090</w:t>
      </w:r>
      <w:r>
        <w:rPr>
          <w:rFonts w:hint="eastAsia" w:ascii="仿宋" w:hAnsi="仿宋" w:eastAsia="仿宋" w:cs="仿宋"/>
          <w:sz w:val="32"/>
          <w:szCs w:val="32"/>
        </w:rPr>
        <w:t>t/a，不涉及总量控制指标。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Cs/>
          <w:sz w:val="32"/>
          <w:szCs w:val="32"/>
        </w:rPr>
        <w:t>、项目在环保申报过程中不得隐情不报，如有瞒报、谎报属违法行为，建设单位将承担由此产生的一切后果。本批复各项内容必须严格执行，建设单位如有违反，将依法追究法律责任。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、项目竣工后，你公司应当按照《环境建设项目环境保护管理条例》的有关规定自行组织验收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双牌</w:t>
      </w:r>
      <w:r>
        <w:rPr>
          <w:rFonts w:hint="eastAsia" w:ascii="仿宋" w:hAnsi="仿宋" w:eastAsia="仿宋" w:cs="仿宋_GB2312"/>
          <w:sz w:val="32"/>
          <w:szCs w:val="32"/>
        </w:rPr>
        <w:t>县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环境监察大队负责该项目环保“三同时”制度执行情况的监督检查和日常环境管理工作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tabs>
          <w:tab w:val="left" w:pos="4340"/>
        </w:tabs>
        <w:spacing w:line="54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永州市生态环境局双牌分局</w:t>
      </w: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>
      <w:pPr>
        <w:tabs>
          <w:tab w:val="left" w:pos="4340"/>
        </w:tabs>
        <w:spacing w:line="540" w:lineRule="exact"/>
        <w:jc w:val="right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 xml:space="preserve">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43BA"/>
    <w:multiLevelType w:val="singleLevel"/>
    <w:tmpl w:val="4F2543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7A"/>
    <w:rsid w:val="00033B0A"/>
    <w:rsid w:val="00036523"/>
    <w:rsid w:val="0007463F"/>
    <w:rsid w:val="0008446D"/>
    <w:rsid w:val="00137381"/>
    <w:rsid w:val="00140042"/>
    <w:rsid w:val="0017745B"/>
    <w:rsid w:val="00183321"/>
    <w:rsid w:val="0023332C"/>
    <w:rsid w:val="00251F55"/>
    <w:rsid w:val="0027651F"/>
    <w:rsid w:val="003159C4"/>
    <w:rsid w:val="00394390"/>
    <w:rsid w:val="003C2B26"/>
    <w:rsid w:val="003C5735"/>
    <w:rsid w:val="00401173"/>
    <w:rsid w:val="004105E2"/>
    <w:rsid w:val="00456856"/>
    <w:rsid w:val="004736C5"/>
    <w:rsid w:val="004E2801"/>
    <w:rsid w:val="00533458"/>
    <w:rsid w:val="00533854"/>
    <w:rsid w:val="00565799"/>
    <w:rsid w:val="005C107A"/>
    <w:rsid w:val="005E55A6"/>
    <w:rsid w:val="00651041"/>
    <w:rsid w:val="0067027E"/>
    <w:rsid w:val="006F18A3"/>
    <w:rsid w:val="006F4260"/>
    <w:rsid w:val="006F5887"/>
    <w:rsid w:val="007949E4"/>
    <w:rsid w:val="007A2D79"/>
    <w:rsid w:val="007E087D"/>
    <w:rsid w:val="00804473"/>
    <w:rsid w:val="00817B97"/>
    <w:rsid w:val="00846691"/>
    <w:rsid w:val="00880D88"/>
    <w:rsid w:val="008D385D"/>
    <w:rsid w:val="00913F7C"/>
    <w:rsid w:val="009748B0"/>
    <w:rsid w:val="009B379C"/>
    <w:rsid w:val="009D0B96"/>
    <w:rsid w:val="009D6217"/>
    <w:rsid w:val="009E3953"/>
    <w:rsid w:val="00A36E69"/>
    <w:rsid w:val="00A46276"/>
    <w:rsid w:val="00AF60CA"/>
    <w:rsid w:val="00B064F4"/>
    <w:rsid w:val="00C5742B"/>
    <w:rsid w:val="00C92EF7"/>
    <w:rsid w:val="00D56245"/>
    <w:rsid w:val="00D70A91"/>
    <w:rsid w:val="00D72892"/>
    <w:rsid w:val="00D94C6B"/>
    <w:rsid w:val="00D95E4C"/>
    <w:rsid w:val="00E25059"/>
    <w:rsid w:val="00E44097"/>
    <w:rsid w:val="00E62D96"/>
    <w:rsid w:val="00EB0447"/>
    <w:rsid w:val="00EB7C9B"/>
    <w:rsid w:val="00EE5C0E"/>
    <w:rsid w:val="00F00066"/>
    <w:rsid w:val="00F5730E"/>
    <w:rsid w:val="00F75954"/>
    <w:rsid w:val="00F8586D"/>
    <w:rsid w:val="00FB24B2"/>
    <w:rsid w:val="00FD1E5A"/>
    <w:rsid w:val="00FE1EA4"/>
    <w:rsid w:val="01C27F3F"/>
    <w:rsid w:val="09941DE8"/>
    <w:rsid w:val="0E0561CD"/>
    <w:rsid w:val="10157212"/>
    <w:rsid w:val="10895095"/>
    <w:rsid w:val="13C96D43"/>
    <w:rsid w:val="14FD5201"/>
    <w:rsid w:val="15E83A7E"/>
    <w:rsid w:val="1E882040"/>
    <w:rsid w:val="1F026430"/>
    <w:rsid w:val="2126784B"/>
    <w:rsid w:val="318E0388"/>
    <w:rsid w:val="35C800E2"/>
    <w:rsid w:val="35E81962"/>
    <w:rsid w:val="37821085"/>
    <w:rsid w:val="39BD6E4B"/>
    <w:rsid w:val="3ED0099C"/>
    <w:rsid w:val="41294AC6"/>
    <w:rsid w:val="41B1788C"/>
    <w:rsid w:val="69983AC9"/>
    <w:rsid w:val="77E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="120" w:beforeLines="0"/>
      <w:ind w:firstLine="1168" w:firstLineChars="400"/>
      <w:outlineLvl w:val="1"/>
    </w:pPr>
    <w:rPr>
      <w:rFonts w:ascii="宋体" w:hAnsi="宋体"/>
      <w:spacing w:val="6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a-3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1022</Characters>
  <Lines>8</Lines>
  <Paragraphs>2</Paragraphs>
  <TotalTime>1</TotalTime>
  <ScaleCrop>false</ScaleCrop>
  <LinksUpToDate>false</LinksUpToDate>
  <CharactersWithSpaces>1199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2018-11-09T02:12:00Z</dcterms:created>
  <dc:creator>lenovo</dc:creator>
  <cp:lastModifiedBy>Administrator</cp:lastModifiedBy>
  <cp:lastPrinted>2019-04-12T07:31:00Z</cp:lastPrinted>
  <dcterms:modified xsi:type="dcterms:W3CDTF">2019-08-26T08:41:50Z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