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300"/>
        <w:jc w:val="center"/>
        <w:rPr>
          <w:rFonts w:eastAsia="宋体" w:cs="Tahoma"/>
          <w:color w:val="000000"/>
        </w:rPr>
      </w:pPr>
      <w:r w:rsidRPr="007A1BB3">
        <w:rPr>
          <w:rFonts w:ascii="创艺简标宋" w:eastAsia="创艺简标宋" w:cs="Tahoma" w:hint="eastAsia"/>
          <w:b/>
          <w:bCs/>
          <w:color w:val="000000"/>
          <w:sz w:val="36"/>
          <w:szCs w:val="36"/>
        </w:rPr>
        <w:t>永州市法定招标限额以下政府投资工程建设项目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300"/>
        <w:jc w:val="center"/>
        <w:rPr>
          <w:rFonts w:eastAsia="宋体" w:cs="Tahoma"/>
          <w:color w:val="000000"/>
        </w:rPr>
      </w:pPr>
      <w:r w:rsidRPr="007A1BB3">
        <w:rPr>
          <w:rFonts w:ascii="创艺简标宋" w:eastAsia="创艺简标宋" w:cs="Tahoma" w:hint="eastAsia"/>
          <w:b/>
          <w:bCs/>
          <w:color w:val="000000"/>
          <w:sz w:val="36"/>
          <w:szCs w:val="36"/>
        </w:rPr>
        <w:t>交易管理办法（试行）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300"/>
        <w:jc w:val="center"/>
        <w:rPr>
          <w:rFonts w:eastAsia="宋体" w:cs="Tahoma"/>
          <w:color w:val="000000"/>
        </w:rPr>
      </w:pPr>
      <w:r w:rsidRPr="007A1BB3">
        <w:rPr>
          <w:rFonts w:ascii="宋体" w:eastAsia="宋体" w:hAnsi="宋体" w:cs="Tahoma" w:hint="eastAsia"/>
          <w:color w:val="000000"/>
          <w:sz w:val="18"/>
          <w:szCs w:val="18"/>
        </w:rPr>
        <w:t> 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45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为加强法定招标限额以下政府投资工程建设项目（以下简称限额以下项目）交易管理，简化交易程序，规范交易行为，提高工作效能，制定本办法。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jc w:val="both"/>
        <w:rPr>
          <w:rFonts w:eastAsia="宋体" w:cs="Tahoma"/>
          <w:color w:val="000000"/>
        </w:rPr>
      </w:pPr>
      <w:r w:rsidRPr="007A1BB3">
        <w:rPr>
          <w:rFonts w:ascii="宋体" w:eastAsia="宋体" w:hAnsi="宋体" w:cs="宋体" w:hint="eastAsia"/>
          <w:color w:val="000000"/>
          <w:sz w:val="32"/>
          <w:szCs w:val="32"/>
        </w:rPr>
        <w:t>    </w:t>
      </w:r>
      <w:r w:rsidRPr="007A1BB3">
        <w:rPr>
          <w:rFonts w:ascii="宋体" w:eastAsia="宋体" w:hAnsi="宋体" w:cs="宋体" w:hint="eastAsia"/>
          <w:color w:val="000000"/>
          <w:sz w:val="32"/>
        </w:rPr>
        <w:t>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一、适用范围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0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 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本办法适用《招投标法》及实施条例规定的必须招投标的且投资额在以下范围的项目: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48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（一）施工单项合同估算价在200万元以下30万元以上的；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48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（二）重要设备、材料等货物采购，单项合同估算价在100万元以下30万元以上的；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48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（三）勘察、设计、监理等工程服务项目，单项合同估算价在50万元以下30万元以上的。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0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二、交易程序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        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1、法定强制招标限额以下政府投资项目遵循以下原则进行交易：①公平、公正、公开、择优录取；②缩短时间、简化程序、提高工作效率。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        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2、法定强制招标限额以下政府投资项目，按照以下程序进行交易：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①县区项目：由各县区根据实际情况因地制宜，制订相应的操作办法进行实施；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lastRenderedPageBreak/>
        <w:t>②市直项目：由行业主管部门按相关规定提出交易程序、交易方式，报市政府分管领导同意后执行。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0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三、监管部门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0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由同级行业主管部门监管。水利项目由同级水利部门进行监管；房屋、市政设施由同级住建部门进行监管；工业项目由同级经信委进行监管；农业项目由同级农业委监管。交通建设项目：公路建设项目干线公路由市交通运输部门监管；农村公路由县区交通运输部门监管。其他行业项目由相应的行业主管部门监管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0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四、责任追究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       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违反本办法按永州市人民政府问责条令等有关规定进行问责。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0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五、其他事项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（一）工程项目合同必须按交易公告或交易结果来签订。在项目实施过程中涉及工程价款和工期的调整等工程变更，必须按照先评审后变更的原则，办理签证手续，项目结算价格不得超过法定招标限额。</w:t>
      </w:r>
    </w:p>
    <w:p w:rsidR="007A1BB3" w:rsidRPr="007A1BB3" w:rsidRDefault="007A1BB3" w:rsidP="007A1BB3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（二）本办法由市公管办会同行业行政主管部门负责解释。</w:t>
      </w:r>
    </w:p>
    <w:p w:rsidR="007A1BB3" w:rsidRPr="007A1BB3" w:rsidRDefault="007A1BB3" w:rsidP="007A1BB3">
      <w:pPr>
        <w:shd w:val="clear" w:color="auto" w:fill="FFFFFF"/>
        <w:adjustRightInd/>
        <w:snapToGrid/>
        <w:jc w:val="both"/>
        <w:rPr>
          <w:rFonts w:eastAsia="宋体" w:cs="Tahoma"/>
          <w:color w:val="000000"/>
        </w:rPr>
      </w:pP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   </w:t>
      </w:r>
      <w:r w:rsidRPr="007A1BB3">
        <w:rPr>
          <w:rFonts w:ascii="仿宋_GB2312" w:eastAsia="仿宋_GB2312" w:cs="Tahoma" w:hint="eastAsia"/>
          <w:color w:val="000000"/>
          <w:sz w:val="32"/>
        </w:rPr>
        <w:t> </w:t>
      </w:r>
      <w:r w:rsidRPr="007A1BB3">
        <w:rPr>
          <w:rFonts w:ascii="仿宋_GB2312" w:eastAsia="仿宋_GB2312" w:cs="Tahoma" w:hint="eastAsia"/>
          <w:color w:val="000000"/>
          <w:sz w:val="32"/>
          <w:szCs w:val="32"/>
        </w:rPr>
        <w:t>本办法自发文之日起施行。原发布与本办法不一致的自行废止。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A1BB3"/>
    <w:rsid w:val="008B7726"/>
    <w:rsid w:val="00B3575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2017-02-20T07:36:00Z</dcterms:modified>
</cp:coreProperties>
</file>